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ED" w:rsidRDefault="00D66EED" w:rsidP="00D66EED">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29 veintinueve de junio del año 2017 dos mil diecisiete. .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 . .</w:t>
      </w:r>
    </w:p>
    <w:p w:rsidR="00D66EED" w:rsidRDefault="00D66EED" w:rsidP="00D66EED">
      <w:pPr>
        <w:rPr>
          <w:rFonts w:ascii="Calibri" w:hAnsi="Calibri" w:cs="Calibri"/>
          <w:color w:val="7F7F7F" w:themeColor="text1" w:themeTint="80"/>
          <w:sz w:val="26"/>
          <w:szCs w:val="26"/>
          <w:lang w:val="es-MX"/>
        </w:rPr>
      </w:pPr>
    </w:p>
    <w:p w:rsidR="00D66EED" w:rsidRDefault="00D66EED" w:rsidP="00D66EED">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0290/2do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D66EED" w:rsidRDefault="00D66EED" w:rsidP="00D66EED">
      <w:pPr>
        <w:pStyle w:val="Textoindependiente"/>
        <w:rPr>
          <w:rFonts w:ascii="Calibri" w:hAnsi="Calibri" w:cs="Calibri"/>
          <w:color w:val="7F7F7F" w:themeColor="text1" w:themeTint="80"/>
          <w:sz w:val="26"/>
          <w:szCs w:val="26"/>
        </w:rPr>
      </w:pPr>
    </w:p>
    <w:p w:rsidR="00D66EED" w:rsidRDefault="00D66EED" w:rsidP="00D66EED">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D66EED" w:rsidRDefault="00D66EED" w:rsidP="00D66EED">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13 trece de enero del año en curso, sin que de las constancias de la presente causa administrativa se desprenda lo contrario. . . . . . . . . . . . . . . . . . . . . . . . . . . . . . . . . . . . . . . . . . . . . . . . . . </w:t>
      </w:r>
    </w:p>
    <w:p w:rsidR="00D66EED" w:rsidRDefault="00D66EED" w:rsidP="00D66EED">
      <w:pPr>
        <w:jc w:val="both"/>
        <w:rPr>
          <w:rFonts w:ascii="Calibri" w:hAnsi="Calibri" w:cs="Calibri"/>
          <w:b/>
          <w:i/>
          <w:iCs/>
          <w:color w:val="7F7F7F" w:themeColor="text1" w:themeTint="80"/>
          <w:sz w:val="26"/>
          <w:szCs w:val="26"/>
          <w:lang w:val="es-MX"/>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361489 (tres-seis-uno-cuatro-ocho-nueve), de fecha 13 trece de enero del año 2017 dos mil diecisiete; documento que, admitido como prueba a las partes (visible a foja 9 nueve), merece pleno valor probatorio, conforme lo dispuesto en los artículos 78, 81, 117, 118, 121 y 131 del Código de Procedimiento y Justicia Administrativa para el Estado y los Municipios de Guanajuato; toda  vez  que  se  trata de un documento </w:t>
      </w:r>
    </w:p>
    <w:p w:rsidR="00D66EED" w:rsidRDefault="00D66EED" w:rsidP="00D66EED">
      <w:pPr>
        <w:ind w:firstLine="708"/>
        <w:jc w:val="both"/>
        <w:rPr>
          <w:rFonts w:ascii="Calibri" w:hAnsi="Calibri" w:cs="Calibri"/>
          <w:color w:val="7F7F7F" w:themeColor="text1" w:themeTint="80"/>
          <w:sz w:val="26"/>
          <w:szCs w:val="26"/>
        </w:rPr>
      </w:pPr>
    </w:p>
    <w:p w:rsidR="00D66EED" w:rsidRDefault="00D66EED" w:rsidP="00D66EE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0290/2do JAM/2017-JN</w:t>
      </w:r>
    </w:p>
    <w:p w:rsidR="00D66EED" w:rsidRDefault="00D66EED" w:rsidP="00D66EED">
      <w:pPr>
        <w:jc w:val="both"/>
        <w:rPr>
          <w:rFonts w:ascii="Calibri" w:hAnsi="Calibri" w:cs="Calibri"/>
          <w:color w:val="7F7F7F" w:themeColor="text1" w:themeTint="80"/>
          <w:sz w:val="26"/>
          <w:szCs w:val="26"/>
        </w:rPr>
      </w:pPr>
    </w:p>
    <w:p w:rsidR="00D66EED" w:rsidRDefault="00D66EED" w:rsidP="00D66EED">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w:t>
      </w:r>
    </w:p>
    <w:p w:rsidR="00D66EED" w:rsidRDefault="00D66EED" w:rsidP="00D66EED">
      <w:pPr>
        <w:jc w:val="both"/>
        <w:rPr>
          <w:rFonts w:ascii="Calibri" w:hAnsi="Calibri" w:cs="Calibri"/>
          <w:color w:val="7F7F7F" w:themeColor="text1" w:themeTint="80"/>
          <w:sz w:val="26"/>
          <w:szCs w:val="26"/>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D66EED" w:rsidRDefault="00D66EED" w:rsidP="00D66EED">
      <w:pPr>
        <w:ind w:firstLine="708"/>
        <w:jc w:val="both"/>
        <w:rPr>
          <w:rFonts w:ascii="Calibri" w:hAnsi="Calibri" w:cs="Calibri"/>
          <w:b/>
          <w:bCs/>
          <w:i/>
          <w:iCs/>
          <w:color w:val="7F7F7F" w:themeColor="text1" w:themeTint="80"/>
          <w:sz w:val="26"/>
          <w:szCs w:val="26"/>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D66EED" w:rsidRDefault="00D66EED" w:rsidP="00D66EED">
      <w:pPr>
        <w:ind w:firstLine="708"/>
        <w:jc w:val="right"/>
        <w:rPr>
          <w:rFonts w:ascii="Calibri" w:hAnsi="Calibri" w:cs="Calibri"/>
          <w:b/>
          <w:color w:val="7F7F7F" w:themeColor="text1" w:themeTint="80"/>
          <w:sz w:val="26"/>
          <w:szCs w:val="26"/>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w:t>
      </w:r>
    </w:p>
    <w:p w:rsidR="00D66EED" w:rsidRDefault="00D66EED" w:rsidP="00D66EED">
      <w:pPr>
        <w:ind w:firstLine="708"/>
        <w:jc w:val="both"/>
        <w:rPr>
          <w:rFonts w:ascii="Calibri" w:hAnsi="Calibri" w:cs="Calibri"/>
          <w:color w:val="7F7F7F" w:themeColor="text1" w:themeTint="80"/>
          <w:sz w:val="26"/>
          <w:szCs w:val="26"/>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por el *****, Notario Público número 99 noventa y nueve, en legal ejercicio en este Partido Judicial de León, Guanajuato (visible en autos a fojas de la 3 tres a la 8 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 . . . . </w:t>
      </w:r>
      <w:r>
        <w:rPr>
          <w:rFonts w:ascii="Calibri" w:hAnsi="Calibri"/>
          <w:bCs/>
          <w:iCs/>
          <w:color w:val="7F7F7F" w:themeColor="text1" w:themeTint="80"/>
          <w:sz w:val="26"/>
          <w:szCs w:val="26"/>
        </w:rPr>
        <w:t>. . . . . . . . . . . . . . . . . . .</w:t>
      </w:r>
    </w:p>
    <w:p w:rsidR="00D66EED" w:rsidRDefault="00D66EED" w:rsidP="00D66EED">
      <w:pPr>
        <w:jc w:val="both"/>
        <w:rPr>
          <w:rFonts w:ascii="Calibri" w:hAnsi="Calibri" w:cs="Calibri"/>
          <w:b/>
          <w:bCs/>
          <w:i/>
          <w:iCs/>
          <w:color w:val="7F7F7F" w:themeColor="text1" w:themeTint="80"/>
          <w:sz w:val="26"/>
          <w:szCs w:val="26"/>
        </w:rPr>
      </w:pPr>
    </w:p>
    <w:p w:rsidR="00D66EED" w:rsidRDefault="00D66EED" w:rsidP="00D66EED">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D66EED" w:rsidRDefault="00D66EED" w:rsidP="00D66EED">
      <w:pPr>
        <w:jc w:val="both"/>
        <w:rPr>
          <w:rFonts w:ascii="Calibri" w:hAnsi="Calibri" w:cs="Calibri"/>
          <w:b/>
          <w:bCs/>
          <w:i/>
          <w:iCs/>
          <w:color w:val="7F7F7F" w:themeColor="text1" w:themeTint="80"/>
          <w:sz w:val="26"/>
          <w:szCs w:val="26"/>
        </w:rPr>
      </w:pPr>
    </w:p>
    <w:p w:rsidR="00D66EED" w:rsidRDefault="00D66EED" w:rsidP="00D66EED">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D66EED" w:rsidRDefault="00D66EED" w:rsidP="00D66EED">
      <w:pPr>
        <w:pStyle w:val="Sangradetextonormal"/>
        <w:ind w:left="0" w:firstLine="708"/>
        <w:jc w:val="both"/>
        <w:rPr>
          <w:rFonts w:ascii="Calibri" w:hAnsi="Calibri" w:cs="Calibri"/>
          <w:bCs/>
          <w:iCs/>
          <w:color w:val="7F7F7F" w:themeColor="text1" w:themeTint="80"/>
          <w:sz w:val="26"/>
          <w:szCs w:val="26"/>
        </w:rPr>
      </w:pPr>
    </w:p>
    <w:p w:rsidR="00D66EED" w:rsidRDefault="00D66EED" w:rsidP="00D66EED">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lastRenderedPageBreak/>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w:t>
      </w:r>
    </w:p>
    <w:p w:rsidR="00D66EED" w:rsidRDefault="00D66EED" w:rsidP="00D66EED">
      <w:pPr>
        <w:pStyle w:val="Sangradetextonormal"/>
        <w:ind w:left="0" w:firstLine="708"/>
        <w:jc w:val="both"/>
        <w:rPr>
          <w:rFonts w:ascii="Calibri" w:hAnsi="Calibri" w:cs="Calibri"/>
          <w:bCs/>
          <w:iCs/>
          <w:color w:val="7F7F7F" w:themeColor="text1" w:themeTint="80"/>
          <w:sz w:val="26"/>
          <w:szCs w:val="26"/>
        </w:rPr>
      </w:pPr>
    </w:p>
    <w:p w:rsidR="00D66EED" w:rsidRDefault="00D66EED" w:rsidP="00D66EED">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 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vigésimo noveno día siguiente 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w:t>
      </w:r>
    </w:p>
    <w:p w:rsidR="00D66EED" w:rsidRDefault="00D66EED" w:rsidP="00D66EED">
      <w:pPr>
        <w:pStyle w:val="Sangradetextonormal"/>
        <w:ind w:left="0" w:firstLine="708"/>
        <w:jc w:val="both"/>
        <w:rPr>
          <w:rFonts w:ascii="Calibri" w:hAnsi="Calibri" w:cs="Calibri"/>
          <w:bCs/>
          <w:iCs/>
          <w:color w:val="7F7F7F" w:themeColor="text1" w:themeTint="80"/>
          <w:sz w:val="26"/>
          <w:szCs w:val="26"/>
        </w:rPr>
      </w:pPr>
    </w:p>
    <w:p w:rsidR="00D66EED" w:rsidRDefault="00D66EED" w:rsidP="00D66EED">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causal de improcedencia o sobreseimiento que impida el estudio de fondo de esta causa administrativa, en cuanto al acta impugnada, en consecuencia es procedente el presente proceso administrativo. . </w:t>
      </w:r>
      <w:r>
        <w:rPr>
          <w:rFonts w:ascii="Calibri" w:hAnsi="Calibri" w:cs="Calibri"/>
          <w:i/>
          <w:color w:val="7F7F7F" w:themeColor="text1" w:themeTint="80"/>
          <w:sz w:val="26"/>
          <w:szCs w:val="26"/>
        </w:rPr>
        <w:t xml:space="preserve">. . . . . . . . . . . . . </w:t>
      </w:r>
    </w:p>
    <w:p w:rsidR="00D66EED" w:rsidRDefault="00D66EED" w:rsidP="00D66EED">
      <w:pPr>
        <w:jc w:val="both"/>
        <w:rPr>
          <w:rFonts w:ascii="Calibri" w:hAnsi="Calibri" w:cs="Calibri"/>
          <w:b/>
          <w:bCs/>
          <w:i/>
          <w:iCs/>
          <w:color w:val="7F7F7F" w:themeColor="text1" w:themeTint="80"/>
          <w:sz w:val="26"/>
          <w:szCs w:val="26"/>
          <w:lang w:val="es-MX"/>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w:t>
      </w:r>
    </w:p>
    <w:p w:rsidR="00D66EED" w:rsidRDefault="00D66EED" w:rsidP="00D66EE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0290/2do JAM/2017-JN</w:t>
      </w:r>
    </w:p>
    <w:p w:rsidR="00D66EED" w:rsidRDefault="00D66EED" w:rsidP="00D66EED">
      <w:pPr>
        <w:jc w:val="both"/>
        <w:rPr>
          <w:rFonts w:ascii="Calibri" w:hAnsi="Calibri" w:cs="Calibri"/>
          <w:color w:val="7F7F7F" w:themeColor="text1" w:themeTint="80"/>
          <w:sz w:val="26"/>
          <w:szCs w:val="26"/>
        </w:rPr>
      </w:pPr>
    </w:p>
    <w:p w:rsidR="00D66EED" w:rsidRDefault="00D66EED" w:rsidP="00D66EED">
      <w:pPr>
        <w:jc w:val="both"/>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para</w:t>
      </w:r>
      <w:proofErr w:type="gramEnd"/>
      <w:r>
        <w:rPr>
          <w:rFonts w:ascii="Calibri" w:hAnsi="Calibri" w:cs="Calibri"/>
          <w:color w:val="7F7F7F" w:themeColor="text1" w:themeTint="80"/>
          <w:sz w:val="26"/>
          <w:szCs w:val="26"/>
        </w:rPr>
        <w:t xml:space="preserve"> el Estado y los Municipios de Guanajuato, procede a fijar clara y precisamente los puntos controvertidos en el presente proceso administrativo. . . </w:t>
      </w:r>
    </w:p>
    <w:p w:rsidR="00D66EED" w:rsidRDefault="00D66EED" w:rsidP="00D66EED">
      <w:pPr>
        <w:ind w:firstLine="708"/>
        <w:jc w:val="both"/>
        <w:rPr>
          <w:rFonts w:ascii="Calibri" w:hAnsi="Calibri" w:cs="Calibri"/>
          <w:color w:val="7F7F7F" w:themeColor="text1" w:themeTint="80"/>
          <w:sz w:val="26"/>
          <w:szCs w:val="26"/>
        </w:rPr>
      </w:pPr>
    </w:p>
    <w:p w:rsidR="00D66EED" w:rsidRDefault="00D66EED" w:rsidP="00D66EED">
      <w:pPr>
        <w:ind w:firstLine="708"/>
        <w:jc w:val="both"/>
        <w:rPr>
          <w:rFonts w:ascii="Calibri" w:hAnsi="Calibri" w:cs="Calibri"/>
          <w: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w:t>
      </w:r>
      <w:r>
        <w:rPr>
          <w:rFonts w:ascii="Calibri" w:hAnsi="Calibri" w:cs="Calibri"/>
          <w:color w:val="7F7F7F" w:themeColor="text1" w:themeTint="80"/>
          <w:sz w:val="26"/>
          <w:szCs w:val="26"/>
        </w:rPr>
        <w:lastRenderedPageBreak/>
        <w:t xml:space="preserve">la presente causa administrativa, se desprende que el Inspector de Movilidad, ciudadano *****, con fecha 13 trece de enero del año 2017 dos mil diecisiete, en el lugar que identificó como: </w:t>
      </w:r>
      <w:r>
        <w:rPr>
          <w:rFonts w:ascii="Calibri" w:hAnsi="Calibri" w:cs="Calibri"/>
          <w:i/>
          <w:iCs/>
          <w:color w:val="7F7F7F" w:themeColor="text1" w:themeTint="80"/>
          <w:sz w:val="26"/>
          <w:szCs w:val="26"/>
        </w:rPr>
        <w:t>“Estación Timoteo Lozano”</w:t>
      </w:r>
      <w:r>
        <w:rPr>
          <w:rFonts w:ascii="Calibri" w:hAnsi="Calibri" w:cs="Calibri"/>
          <w:iCs/>
          <w:color w:val="7F7F7F" w:themeColor="text1" w:themeTint="80"/>
          <w:sz w:val="26"/>
          <w:szCs w:val="26"/>
        </w:rPr>
        <w:t xml:space="preserve"> de esta ciudad;</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levantó el acta de infracción número 361489 (tres-seis-uno-cuatro-ocho-nueve), en la que señaló como concepto de la infracción: </w:t>
      </w:r>
      <w:r>
        <w:rPr>
          <w:rFonts w:ascii="Calibri" w:hAnsi="Calibri" w:cs="Calibri"/>
          <w:i/>
          <w:color w:val="7F7F7F" w:themeColor="text1" w:themeTint="80"/>
          <w:sz w:val="26"/>
          <w:szCs w:val="26"/>
        </w:rPr>
        <w:t xml:space="preserve">“Por no respetar ruta, horarios, frecuencias e itinerarios autorizadas por la dirección (el día……..encontrándome aforando la ruta X-9 con destino a la colonia Esmeralda……me percato que el despacho #26 programado a las 07:41 no llega, no presta el servicio………)”,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“Nombre: Sociedad Integradora del Transporte Publico Gral. Francisco Villa, S.A. de C.V.”</w:t>
      </w:r>
      <w:proofErr w:type="gramStart"/>
      <w:r>
        <w:rPr>
          <w:rFonts w:ascii="Calibri" w:hAnsi="Calibri" w:cs="Calibri"/>
          <w:i/>
          <w:color w:val="7F7F7F" w:themeColor="text1" w:themeTint="80"/>
          <w:sz w:val="26"/>
          <w:szCs w:val="26"/>
        </w:rPr>
        <w:t>.,</w:t>
      </w:r>
      <w:proofErr w:type="gramEnd"/>
      <w:r>
        <w:rPr>
          <w:rFonts w:ascii="Calibri" w:hAnsi="Calibri" w:cs="Calibri"/>
          <w:i/>
          <w:color w:val="7F7F7F" w:themeColor="text1" w:themeTint="80"/>
          <w:sz w:val="26"/>
          <w:szCs w:val="26"/>
        </w:rPr>
        <w:t xml:space="preserve"> domicilio: Francisco Mena #101 Col. Predio Los Gómez”</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w:t>
      </w:r>
      <w:r>
        <w:rPr>
          <w:rFonts w:ascii="Calibri" w:hAnsi="Calibri" w:cs="Calibri"/>
          <w:color w:val="7F7F7F" w:themeColor="text1" w:themeTint="80"/>
          <w:sz w:val="26"/>
          <w:szCs w:val="26"/>
        </w:rPr>
        <w:t xml:space="preserve"> según consta en el cuerpo del acta materia de la “</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 . . . . . . . . . . . . . . . . . . . . . </w:t>
      </w:r>
    </w:p>
    <w:p w:rsidR="00D66EED" w:rsidRDefault="00D66EED" w:rsidP="00D66EED">
      <w:pPr>
        <w:pStyle w:val="Textoindependiente"/>
        <w:tabs>
          <w:tab w:val="left" w:pos="3594"/>
        </w:tabs>
        <w:rPr>
          <w:rFonts w:ascii="Calibri" w:hAnsi="Calibri" w:cs="Calibri"/>
          <w:color w:val="7F7F7F" w:themeColor="text1" w:themeTint="80"/>
          <w:sz w:val="26"/>
          <w:szCs w:val="26"/>
          <w:lang w:val="es-ES"/>
        </w:rPr>
      </w:pPr>
    </w:p>
    <w:p w:rsidR="00D66EED" w:rsidRDefault="00D66EED" w:rsidP="00D66EED">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D66EED" w:rsidRDefault="00D66EED" w:rsidP="00D66EED">
      <w:pPr>
        <w:pStyle w:val="Textoindependiente"/>
        <w:tabs>
          <w:tab w:val="left" w:pos="3594"/>
        </w:tabs>
        <w:rPr>
          <w:rFonts w:ascii="Calibri" w:hAnsi="Calibri" w:cs="Calibri"/>
          <w:iCs/>
          <w:color w:val="7F7F7F" w:themeColor="text1" w:themeTint="80"/>
          <w:sz w:val="26"/>
          <w:szCs w:val="26"/>
        </w:rPr>
      </w:pPr>
    </w:p>
    <w:p w:rsidR="00D66EED" w:rsidRDefault="00D66EED" w:rsidP="00D66EED">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D66EED" w:rsidRDefault="00D66EED" w:rsidP="00D66EED">
      <w:pPr>
        <w:pStyle w:val="Textoindependiente"/>
        <w:tabs>
          <w:tab w:val="left" w:pos="3594"/>
        </w:tabs>
        <w:rPr>
          <w:rFonts w:ascii="Calibri" w:hAnsi="Calibri" w:cs="Calibri"/>
          <w:iCs/>
          <w:color w:val="7F7F7F" w:themeColor="text1" w:themeTint="80"/>
          <w:sz w:val="26"/>
          <w:szCs w:val="26"/>
        </w:rPr>
      </w:pPr>
    </w:p>
    <w:p w:rsidR="00D66EED" w:rsidRDefault="00D66EED" w:rsidP="00D66EED">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xml:space="preserve">” planteada se hace consistir en determinar la legalidad o ilegalidad del acta de infracción número 361489 (tres-seis-uno-cuatro-ocho-nueve), de fecha 13 trece de enero del año 2017 dos mil diecisiete y la procedencia o improcedencia de sus pretensiones. . . . . . . . . . . . . . . . . . . . . . . . . </w:t>
      </w:r>
    </w:p>
    <w:p w:rsidR="00D66EED" w:rsidRDefault="00D66EED" w:rsidP="00D66EED">
      <w:pPr>
        <w:pStyle w:val="Textoindependiente"/>
        <w:tabs>
          <w:tab w:val="left" w:pos="3594"/>
        </w:tabs>
        <w:rPr>
          <w:color w:val="7F7F7F" w:themeColor="text1" w:themeTint="80"/>
          <w:sz w:val="22"/>
        </w:rPr>
      </w:pPr>
    </w:p>
    <w:p w:rsidR="00D66EED" w:rsidRDefault="00D66EED" w:rsidP="00D66EED">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D66EED" w:rsidRDefault="00D66EED" w:rsidP="00D66EED">
      <w:pPr>
        <w:ind w:firstLine="708"/>
        <w:jc w:val="both"/>
        <w:rPr>
          <w:color w:val="7F7F7F" w:themeColor="text1" w:themeTint="80"/>
          <w:lang w:val="es-MX"/>
        </w:rPr>
      </w:pPr>
    </w:p>
    <w:p w:rsidR="00D66EED" w:rsidRDefault="00D66EED" w:rsidP="00D66EED">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w:t>
      </w:r>
      <w:r>
        <w:rPr>
          <w:rFonts w:ascii="Calibri" w:hAnsi="Calibri"/>
          <w:i/>
          <w:iCs/>
          <w:color w:val="7F7F7F" w:themeColor="text1" w:themeTint="80"/>
          <w:sz w:val="26"/>
        </w:rPr>
        <w:lastRenderedPageBreak/>
        <w:t xml:space="preserve">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D66EED" w:rsidRDefault="00D66EED" w:rsidP="00D66EED">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t xml:space="preserve"> </w:t>
      </w:r>
    </w:p>
    <w:p w:rsidR="00D66EED" w:rsidRDefault="00D66EED" w:rsidP="00D66EED">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Así las cosas, en el señalado concepto de impugnación, la impetrante expuso: </w:t>
      </w:r>
      <w:r>
        <w:rPr>
          <w:rFonts w:ascii="Calibri" w:hAnsi="Calibri" w:cs="Calibri"/>
          <w:b/>
          <w:i/>
          <w:color w:val="7F7F7F" w:themeColor="text1" w:themeTint="80"/>
          <w:sz w:val="26"/>
          <w:szCs w:val="26"/>
        </w:rPr>
        <w:t>“PRIMERO</w:t>
      </w:r>
      <w:r>
        <w:rPr>
          <w:rFonts w:ascii="Calibri" w:hAnsi="Calibri" w:cs="Calibri"/>
          <w:i/>
          <w:color w:val="7F7F7F" w:themeColor="text1" w:themeTint="80"/>
          <w:sz w:val="26"/>
          <w:szCs w:val="26"/>
        </w:rPr>
        <w:t xml:space="preserve">.- Causa agravio… por su </w:t>
      </w:r>
      <w:r>
        <w:rPr>
          <w:rFonts w:ascii="Calibri" w:hAnsi="Calibri" w:cs="Calibri"/>
          <w:b/>
          <w:i/>
          <w:color w:val="7F7F7F" w:themeColor="text1" w:themeTint="80"/>
          <w:sz w:val="26"/>
          <w:szCs w:val="26"/>
        </w:rPr>
        <w:t>IRREGULAR FUNDAMENTACIÓN Y MOTIVACIÓN</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D66EED" w:rsidRDefault="00D66EED" w:rsidP="00D66EED">
      <w:pPr>
        <w:ind w:firstLine="708"/>
        <w:jc w:val="both"/>
        <w:rPr>
          <w:rFonts w:ascii="Calibri" w:hAnsi="Calibri" w:cs="Calibri"/>
          <w:iCs/>
          <w:color w:val="7F7F7F" w:themeColor="text1" w:themeTint="80"/>
          <w:sz w:val="26"/>
          <w:szCs w:val="26"/>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D66EED" w:rsidRDefault="00D66EED" w:rsidP="00D66EED">
      <w:pPr>
        <w:jc w:val="both"/>
        <w:rPr>
          <w:rFonts w:ascii="Calibri" w:hAnsi="Calibri" w:cs="Calibri"/>
          <w:bCs/>
          <w:color w:val="7F7F7F" w:themeColor="text1" w:themeTint="80"/>
          <w:sz w:val="26"/>
          <w:szCs w:val="26"/>
        </w:rPr>
      </w:pPr>
    </w:p>
    <w:p w:rsidR="00D66EED" w:rsidRDefault="00D66EED" w:rsidP="00D66EED">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361489 (tres-seis-uno-cuatro-ocho-nueve), de fecha 13 trece de enero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w:t>
      </w:r>
    </w:p>
    <w:p w:rsidR="00D66EED" w:rsidRDefault="00D66EED" w:rsidP="00D66EED">
      <w:pPr>
        <w:jc w:val="both"/>
        <w:rPr>
          <w:rFonts w:ascii="Calibri" w:hAnsi="Calibri" w:cs="Calibri"/>
          <w:bCs/>
          <w:color w:val="7F7F7F" w:themeColor="text1" w:themeTint="80"/>
          <w:sz w:val="20"/>
          <w:szCs w:val="20"/>
        </w:rPr>
      </w:pPr>
    </w:p>
    <w:p w:rsidR="00D66EED" w:rsidRDefault="00D66EED" w:rsidP="00D66EED">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 </w:t>
      </w:r>
    </w:p>
    <w:p w:rsidR="00D66EED" w:rsidRDefault="00D66EED" w:rsidP="00D66EED">
      <w:pPr>
        <w:ind w:firstLine="708"/>
        <w:jc w:val="both"/>
        <w:rPr>
          <w:rFonts w:ascii="Calibri" w:hAnsi="Calibri" w:cs="Calibri"/>
          <w:bCs/>
          <w:color w:val="7F7F7F" w:themeColor="text1" w:themeTint="80"/>
          <w:sz w:val="26"/>
          <w:szCs w:val="26"/>
        </w:rPr>
      </w:pPr>
    </w:p>
    <w:p w:rsidR="00D66EED" w:rsidRDefault="00D66EED" w:rsidP="00D66EED">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D66EED" w:rsidRDefault="00D66EED" w:rsidP="00D66EED">
      <w:pPr>
        <w:jc w:val="both"/>
        <w:rPr>
          <w:rFonts w:asciiTheme="minorHAnsi" w:hAnsiTheme="minorHAnsi" w:cs="Calibri"/>
          <w:bCs/>
          <w:color w:val="7F7F7F" w:themeColor="text1" w:themeTint="80"/>
          <w:sz w:val="26"/>
          <w:szCs w:val="26"/>
        </w:rPr>
      </w:pPr>
    </w:p>
    <w:p w:rsidR="00D66EED" w:rsidRDefault="00D66EED" w:rsidP="00D66EED">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lastRenderedPageBreak/>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w:t>
      </w:r>
    </w:p>
    <w:p w:rsidR="00D66EED" w:rsidRDefault="00D66EED" w:rsidP="00D66EED">
      <w:pPr>
        <w:ind w:firstLine="708"/>
        <w:jc w:val="both"/>
        <w:rPr>
          <w:rFonts w:ascii="Calibri" w:hAnsi="Calibri" w:cs="Calibri"/>
          <w:bCs/>
          <w:color w:val="7F7F7F" w:themeColor="text1" w:themeTint="80"/>
          <w:sz w:val="26"/>
          <w:szCs w:val="26"/>
        </w:rPr>
      </w:pPr>
    </w:p>
    <w:p w:rsidR="00D66EED" w:rsidRDefault="00D66EED" w:rsidP="00D66EE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0290/2do JAM/2017-JN</w:t>
      </w:r>
    </w:p>
    <w:p w:rsidR="00D66EED" w:rsidRDefault="00D66EED" w:rsidP="00D66EED">
      <w:pPr>
        <w:jc w:val="both"/>
        <w:rPr>
          <w:rFonts w:ascii="Calibri" w:hAnsi="Calibri" w:cs="Calibri"/>
          <w:bCs/>
          <w:color w:val="7F7F7F" w:themeColor="text1" w:themeTint="80"/>
          <w:sz w:val="26"/>
          <w:szCs w:val="26"/>
        </w:rPr>
      </w:pPr>
    </w:p>
    <w:p w:rsidR="00D66EED" w:rsidRDefault="00D66EED" w:rsidP="00D66EED">
      <w:pPr>
        <w:jc w:val="both"/>
        <w:rPr>
          <w:rFonts w:ascii="Calibri" w:hAnsi="Calibri" w:cs="Calibri"/>
          <w:bCs/>
          <w:color w:val="7F7F7F" w:themeColor="text1" w:themeTint="80"/>
          <w:sz w:val="26"/>
          <w:szCs w:val="26"/>
        </w:rPr>
      </w:pPr>
      <w:proofErr w:type="gramStart"/>
      <w:r>
        <w:rPr>
          <w:rFonts w:ascii="Calibri" w:hAnsi="Calibri" w:cs="Calibri"/>
          <w:bCs/>
          <w:color w:val="7F7F7F" w:themeColor="text1" w:themeTint="80"/>
          <w:sz w:val="26"/>
          <w:szCs w:val="26"/>
        </w:rPr>
        <w:t>motor</w:t>
      </w:r>
      <w:proofErr w:type="gramEnd"/>
      <w:r>
        <w:rPr>
          <w:rFonts w:ascii="Calibri" w:hAnsi="Calibri" w:cs="Calibri"/>
          <w:bCs/>
          <w:color w:val="7F7F7F" w:themeColor="text1" w:themeTint="80"/>
          <w:sz w:val="26"/>
          <w:szCs w:val="26"/>
        </w:rPr>
        <w:t xml:space="preserve">, al no ser corpórea, es decir que tenga un cuerpo como lo tiene una persona física para la ejecución de tareas motrices. . . . . . . . . . . . . . . . . . . . . . . . . . </w:t>
      </w:r>
    </w:p>
    <w:p w:rsidR="00D66EED" w:rsidRDefault="00D66EED" w:rsidP="00D66EED">
      <w:pPr>
        <w:ind w:firstLine="708"/>
        <w:jc w:val="both"/>
        <w:rPr>
          <w:rFonts w:ascii="Calibri" w:hAnsi="Calibri" w:cs="Calibri"/>
          <w:bCs/>
          <w:color w:val="7F7F7F" w:themeColor="text1" w:themeTint="80"/>
          <w:sz w:val="26"/>
          <w:szCs w:val="26"/>
        </w:rPr>
      </w:pPr>
    </w:p>
    <w:p w:rsidR="00D66EED" w:rsidRDefault="00D66EED" w:rsidP="00D66EED">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Pr>
          <w:rFonts w:ascii="Calibri" w:hAnsi="Calibri" w:cs="Calibri"/>
          <w:color w:val="7F7F7F" w:themeColor="text1" w:themeTint="80"/>
          <w:sz w:val="26"/>
          <w:szCs w:val="26"/>
        </w:rPr>
        <w:t>361489 (tres-seis-uno-cuatro-ocho-nueve), de fecha 13 trece de enero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 . . . . . . </w:t>
      </w:r>
    </w:p>
    <w:p w:rsidR="00D66EED" w:rsidRDefault="00D66EED" w:rsidP="00D66EED">
      <w:pPr>
        <w:jc w:val="both"/>
        <w:rPr>
          <w:rFonts w:ascii="Calibri" w:hAnsi="Calibri" w:cs="Calibri"/>
          <w:bCs/>
          <w:color w:val="7F7F7F" w:themeColor="text1" w:themeTint="80"/>
          <w:sz w:val="20"/>
          <w:szCs w:val="20"/>
        </w:rPr>
      </w:pPr>
    </w:p>
    <w:p w:rsidR="00D66EED" w:rsidRDefault="00D66EED" w:rsidP="00D66EED">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w:t>
      </w:r>
    </w:p>
    <w:p w:rsidR="00D66EED" w:rsidRDefault="00D66EED" w:rsidP="00D66EED">
      <w:pPr>
        <w:jc w:val="both"/>
        <w:rPr>
          <w:rFonts w:ascii="Calibri" w:hAnsi="Calibri" w:cs="Calibri"/>
          <w:color w:val="7F7F7F" w:themeColor="text1" w:themeTint="80"/>
          <w:sz w:val="20"/>
          <w:szCs w:val="20"/>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361489 (tres-seis-uno-</w:t>
      </w:r>
      <w:r>
        <w:rPr>
          <w:rFonts w:ascii="Calibri" w:hAnsi="Calibri" w:cs="Calibri"/>
          <w:b/>
          <w:color w:val="7F7F7F" w:themeColor="text1" w:themeTint="80"/>
          <w:sz w:val="26"/>
          <w:szCs w:val="26"/>
        </w:rPr>
        <w:lastRenderedPageBreak/>
        <w:t>cuatro-ocho-nueve)</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13 </w:t>
      </w:r>
      <w:r>
        <w:rPr>
          <w:rFonts w:ascii="Calibri" w:hAnsi="Calibri" w:cs="Calibri"/>
          <w:color w:val="7F7F7F" w:themeColor="text1" w:themeTint="80"/>
          <w:sz w:val="26"/>
          <w:szCs w:val="26"/>
        </w:rPr>
        <w:t>trece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w:t>
      </w:r>
    </w:p>
    <w:p w:rsidR="00D66EED" w:rsidRDefault="00D66EED" w:rsidP="00D66EED">
      <w:pPr>
        <w:ind w:firstLine="708"/>
        <w:jc w:val="both"/>
        <w:rPr>
          <w:rFonts w:ascii="Calibri" w:hAnsi="Calibri" w:cs="Calibri"/>
          <w:color w:val="7F7F7F" w:themeColor="text1" w:themeTint="80"/>
          <w:sz w:val="20"/>
          <w:szCs w:val="20"/>
        </w:rPr>
      </w:pPr>
    </w:p>
    <w:p w:rsidR="00D66EED" w:rsidRDefault="00D66EED" w:rsidP="00D66EED">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primer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D66EED" w:rsidRDefault="00D66EED" w:rsidP="00D66EED">
      <w:pPr>
        <w:pStyle w:val="Textoindependiente"/>
        <w:rPr>
          <w:rFonts w:ascii="Calibri" w:hAnsi="Calibri" w:cs="Arial"/>
          <w:color w:val="7F7F7F" w:themeColor="text1" w:themeTint="80"/>
          <w:sz w:val="20"/>
          <w:szCs w:val="27"/>
          <w:lang w:val="es-ES"/>
        </w:rPr>
      </w:pPr>
    </w:p>
    <w:p w:rsidR="00D66EED" w:rsidRDefault="00D66EED" w:rsidP="00D66EED">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D66EED" w:rsidRDefault="00D66EED" w:rsidP="00D66EED">
      <w:pPr>
        <w:pStyle w:val="Textoindependiente"/>
        <w:ind w:firstLine="708"/>
        <w:rPr>
          <w:rFonts w:ascii="Calibri" w:hAnsi="Calibri"/>
          <w:b/>
          <w:bCs/>
          <w:i/>
          <w:iCs/>
          <w:color w:val="7F7F7F" w:themeColor="text1" w:themeTint="80"/>
          <w:sz w:val="20"/>
          <w:szCs w:val="20"/>
        </w:rPr>
      </w:pPr>
    </w:p>
    <w:p w:rsidR="00D66EED" w:rsidRDefault="00D66EED" w:rsidP="00D66EED">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F7F7F" w:themeColor="text1" w:themeTint="80"/>
          <w:sz w:val="20"/>
          <w:szCs w:val="20"/>
        </w:rPr>
        <w:t>125</w:t>
      </w:r>
      <w:r>
        <w:rPr>
          <w:rFonts w:ascii="Calibri" w:hAnsi="Calibri"/>
          <w:color w:val="7F7F7F" w:themeColor="text1" w:themeTint="80"/>
          <w:sz w:val="26"/>
          <w:szCs w:val="26"/>
        </w:rPr>
        <w:t xml:space="preserve"> .</w:t>
      </w:r>
      <w:proofErr w:type="gramEnd"/>
      <w:r>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 . .</w:t>
      </w:r>
    </w:p>
    <w:p w:rsidR="00D66EED" w:rsidRDefault="00D66EED" w:rsidP="00D66EED">
      <w:pPr>
        <w:pStyle w:val="Textoindependiente"/>
        <w:rPr>
          <w:rFonts w:ascii="Calibri" w:hAnsi="Calibri"/>
          <w:b/>
          <w:i/>
          <w:color w:val="7F7F7F" w:themeColor="text1" w:themeTint="80"/>
          <w:sz w:val="20"/>
          <w:szCs w:val="20"/>
        </w:rPr>
      </w:pPr>
    </w:p>
    <w:p w:rsidR="00D66EED" w:rsidRDefault="00D66EED" w:rsidP="00D66EED">
      <w:pPr>
        <w:pStyle w:val="Textoindependiente"/>
        <w:ind w:firstLine="708"/>
        <w:rPr>
          <w:rFonts w:ascii="Calibri" w:hAnsi="Calibri" w:cs="Calibri"/>
          <w:color w:val="7F7F7F" w:themeColor="text1" w:themeTint="80"/>
          <w:sz w:val="26"/>
          <w:szCs w:val="26"/>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D66EED" w:rsidRDefault="00D66EED" w:rsidP="00D66EED">
      <w:pPr>
        <w:ind w:firstLine="708"/>
        <w:jc w:val="both"/>
        <w:rPr>
          <w:rFonts w:ascii="Calibri" w:hAnsi="Calibri"/>
          <w:color w:val="767171" w:themeColor="background2" w:themeShade="80"/>
          <w:sz w:val="20"/>
          <w:szCs w:val="20"/>
        </w:rPr>
      </w:pPr>
    </w:p>
    <w:p w:rsidR="00D66EED" w:rsidRDefault="00D66EED" w:rsidP="00D66EED">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b/>
          <w:color w:val="767171" w:themeColor="background2" w:themeShade="80"/>
          <w:sz w:val="26"/>
          <w:szCs w:val="26"/>
        </w:rPr>
        <w:t>reconoce</w:t>
      </w:r>
      <w:r>
        <w:rPr>
          <w:rFonts w:ascii="Calibri" w:hAnsi="Calibri"/>
          <w:color w:val="767171" w:themeColor="background2" w:themeShade="80"/>
          <w:sz w:val="26"/>
          <w:szCs w:val="26"/>
        </w:rPr>
        <w:t xml:space="preserve"> el derecho que tiene la poderdante de la impugnadora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w:t>
      </w:r>
      <w:r>
        <w:rPr>
          <w:rFonts w:ascii="Calibri" w:hAnsi="Calibri" w:cs="Calibri"/>
          <w:color w:val="7F7F7F" w:themeColor="text1" w:themeTint="80"/>
          <w:sz w:val="26"/>
          <w:szCs w:val="26"/>
        </w:rPr>
        <w:t xml:space="preserve">. . . . . . . . . . . . . . . . . . . . </w:t>
      </w:r>
    </w:p>
    <w:p w:rsidR="00D66EED" w:rsidRDefault="00D66EED" w:rsidP="00D66EED">
      <w:pPr>
        <w:pStyle w:val="Textoindependiente"/>
        <w:ind w:firstLine="708"/>
        <w:rPr>
          <w:rFonts w:ascii="Calibri" w:hAnsi="Calibri" w:cs="Arial"/>
          <w:color w:val="7F7F7F" w:themeColor="text1" w:themeTint="80"/>
          <w:sz w:val="20"/>
          <w:szCs w:val="20"/>
        </w:rPr>
      </w:pPr>
      <w:r>
        <w:rPr>
          <w:rFonts w:ascii="Calibri" w:hAnsi="Calibri" w:cs="Arial"/>
          <w:color w:val="7F7F7F" w:themeColor="text1" w:themeTint="80"/>
          <w:sz w:val="26"/>
          <w:szCs w:val="27"/>
          <w:lang w:val="es-ES"/>
        </w:rPr>
        <w:t xml:space="preserve"> </w:t>
      </w:r>
    </w:p>
    <w:p w:rsidR="00D66EED" w:rsidRDefault="00D66EED" w:rsidP="00D66EED">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D66EED" w:rsidRDefault="00D66EED" w:rsidP="00D66EED">
      <w:pPr>
        <w:pStyle w:val="Textoindependiente"/>
        <w:ind w:firstLine="708"/>
        <w:rPr>
          <w:rFonts w:ascii="Calibri" w:hAnsi="Calibri" w:cs="Calibri"/>
          <w:color w:val="7F7F7F" w:themeColor="text1" w:themeTint="80"/>
          <w:sz w:val="26"/>
          <w:szCs w:val="26"/>
        </w:rPr>
      </w:pPr>
    </w:p>
    <w:p w:rsidR="00D66EED" w:rsidRDefault="00D66EED" w:rsidP="00D66EED">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D66EED" w:rsidRDefault="00D66EED" w:rsidP="00D66EED">
      <w:pPr>
        <w:pStyle w:val="Textoindependiente"/>
        <w:rPr>
          <w:rFonts w:ascii="Calibri" w:hAnsi="Calibri" w:cs="Calibri"/>
          <w:color w:val="7F7F7F" w:themeColor="text1" w:themeTint="80"/>
          <w:sz w:val="20"/>
          <w:szCs w:val="20"/>
        </w:rPr>
      </w:pPr>
    </w:p>
    <w:p w:rsidR="00D66EED" w:rsidRDefault="00D66EED" w:rsidP="00D66EED">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lastRenderedPageBreak/>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D66EED" w:rsidRDefault="00D66EED" w:rsidP="00D66EED">
      <w:pPr>
        <w:pStyle w:val="Textoindependiente"/>
        <w:ind w:firstLine="708"/>
        <w:rPr>
          <w:rFonts w:ascii="Calibri" w:hAnsi="Calibri" w:cs="Calibri"/>
          <w:color w:val="7F7F7F" w:themeColor="text1" w:themeTint="80"/>
          <w:sz w:val="26"/>
          <w:szCs w:val="26"/>
        </w:rPr>
      </w:pPr>
    </w:p>
    <w:p w:rsidR="00D66EED" w:rsidRDefault="00D66EED" w:rsidP="00D66EED">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D66EED" w:rsidRDefault="00D66EED" w:rsidP="00D66EED">
      <w:pPr>
        <w:pStyle w:val="Textoindependiente"/>
        <w:ind w:firstLine="708"/>
        <w:rPr>
          <w:rFonts w:ascii="Calibri" w:hAnsi="Calibri" w:cs="Calibri"/>
          <w:bCs/>
          <w:iCs/>
          <w:color w:val="7F7F7F" w:themeColor="text1" w:themeTint="80"/>
          <w:sz w:val="20"/>
          <w:szCs w:val="20"/>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361489 (tres-seis-uno-cuatro-ocho-nueve)</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13 </w:t>
      </w:r>
      <w:r>
        <w:rPr>
          <w:rFonts w:ascii="Calibri" w:hAnsi="Calibri" w:cs="Calibri"/>
          <w:color w:val="7F7F7F" w:themeColor="text1" w:themeTint="80"/>
          <w:sz w:val="26"/>
          <w:szCs w:val="26"/>
        </w:rPr>
        <w:t>trece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ello en base a las consideraciones lógicas y jurídicas expresadas en el Considerando Séptimo de esta sentencia. . . . . . . . . . . . . . . . . . . . </w:t>
      </w:r>
    </w:p>
    <w:p w:rsidR="00D66EED" w:rsidRDefault="00D66EED" w:rsidP="00D66EED">
      <w:pPr>
        <w:pStyle w:val="Textoindependiente"/>
        <w:rPr>
          <w:rFonts w:ascii="Calibri" w:hAnsi="Calibri" w:cs="Calibri"/>
          <w:b/>
          <w:bCs/>
          <w:i/>
          <w:iCs/>
          <w:color w:val="7F7F7F" w:themeColor="text1" w:themeTint="80"/>
          <w:sz w:val="20"/>
          <w:szCs w:val="20"/>
          <w:lang w:val="es-ES"/>
        </w:rPr>
      </w:pPr>
    </w:p>
    <w:p w:rsidR="00D66EED" w:rsidRDefault="00D66EED" w:rsidP="00D66EED">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las </w:t>
      </w:r>
      <w:r>
        <w:rPr>
          <w:rFonts w:ascii="Calibri" w:hAnsi="Calibri"/>
          <w:b/>
          <w:color w:val="7F7F7F" w:themeColor="text1" w:themeTint="80"/>
          <w:sz w:val="26"/>
        </w:rPr>
        <w:t>placas de circulación</w:t>
      </w:r>
      <w:r>
        <w:rPr>
          <w:rFonts w:ascii="Calibri" w:hAnsi="Calibri"/>
          <w:color w:val="7F7F7F" w:themeColor="text1" w:themeTint="80"/>
          <w:sz w:val="26"/>
        </w:rPr>
        <w:t xml:space="preserve"> del vehículo destinado a la prestación del servicio público de transporte,  que  fueron  retenidas  en  garantía  del  pago  de  la multa que, en su </w:t>
      </w:r>
    </w:p>
    <w:p w:rsidR="00D66EED" w:rsidRDefault="00D66EED" w:rsidP="00D66EED">
      <w:pPr>
        <w:ind w:firstLine="708"/>
        <w:jc w:val="both"/>
        <w:rPr>
          <w:rFonts w:ascii="Calibri" w:hAnsi="Calibri"/>
          <w:color w:val="7F7F7F" w:themeColor="text1" w:themeTint="80"/>
          <w:sz w:val="26"/>
        </w:rPr>
      </w:pPr>
    </w:p>
    <w:p w:rsidR="00D66EED" w:rsidRDefault="00D66EED" w:rsidP="00D66EE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0290/2do JAM/2017-JN</w:t>
      </w:r>
    </w:p>
    <w:p w:rsidR="00D66EED" w:rsidRDefault="00D66EED" w:rsidP="00D66EED">
      <w:pPr>
        <w:jc w:val="both"/>
        <w:rPr>
          <w:rFonts w:ascii="Calibri" w:hAnsi="Calibri"/>
          <w:color w:val="7F7F7F" w:themeColor="text1" w:themeTint="80"/>
          <w:sz w:val="26"/>
        </w:rPr>
      </w:pPr>
    </w:p>
    <w:p w:rsidR="00D66EED" w:rsidRDefault="00D66EED" w:rsidP="00D66EED">
      <w:pPr>
        <w:jc w:val="both"/>
        <w:rPr>
          <w:rFonts w:ascii="Calibri" w:hAnsi="Calibri"/>
          <w:color w:val="7F7F7F" w:themeColor="text1" w:themeTint="80"/>
          <w:sz w:val="26"/>
        </w:rPr>
      </w:pPr>
      <w:proofErr w:type="gramStart"/>
      <w:r>
        <w:rPr>
          <w:rFonts w:ascii="Calibri" w:hAnsi="Calibri"/>
          <w:color w:val="7F7F7F" w:themeColor="text1" w:themeTint="80"/>
          <w:sz w:val="26"/>
        </w:rPr>
        <w:t>caso</w:t>
      </w:r>
      <w:proofErr w:type="gramEnd"/>
      <w:r>
        <w:rPr>
          <w:rFonts w:ascii="Calibri" w:hAnsi="Calibri"/>
          <w:color w:val="7F7F7F" w:themeColor="text1" w:themeTint="80"/>
          <w:sz w:val="26"/>
        </w:rPr>
        <w:t xml:space="preserve">, se impusiera; ello de conformidad a lo argumentado en el considerando Noveno de esta misma resolución. . . . . . . . . . . . . . . . . . . . . . . . . . . . . . . . . . . . . . . . . </w:t>
      </w:r>
    </w:p>
    <w:p w:rsidR="00D66EED" w:rsidRDefault="00D66EED" w:rsidP="00D66EED">
      <w:pPr>
        <w:jc w:val="both"/>
        <w:rPr>
          <w:rFonts w:ascii="Calibri" w:hAnsi="Calibri" w:cs="Calibri"/>
          <w:color w:val="7F7F7F" w:themeColor="text1" w:themeTint="80"/>
          <w:sz w:val="20"/>
          <w:szCs w:val="20"/>
        </w:rPr>
      </w:pPr>
    </w:p>
    <w:p w:rsidR="00D66EED" w:rsidRDefault="00D66EED" w:rsidP="00D66EED">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D66EED" w:rsidRDefault="00D66EED" w:rsidP="00D66EED">
      <w:pPr>
        <w:pStyle w:val="Textoindependiente"/>
        <w:ind w:firstLine="708"/>
        <w:rPr>
          <w:rFonts w:ascii="Calibri" w:hAnsi="Calibri" w:cs="Calibri"/>
          <w:color w:val="7F7F7F" w:themeColor="text1" w:themeTint="80"/>
          <w:sz w:val="26"/>
          <w:szCs w:val="26"/>
        </w:rPr>
      </w:pPr>
    </w:p>
    <w:p w:rsidR="00D66EED" w:rsidRDefault="00D66EED" w:rsidP="00D66EED">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D66EED" w:rsidRDefault="00D66EED" w:rsidP="00D66EED">
      <w:pPr>
        <w:jc w:val="both"/>
        <w:rPr>
          <w:rFonts w:ascii="Calibri" w:hAnsi="Calibri" w:cs="Calibri"/>
          <w:color w:val="7F7F7F" w:themeColor="text1" w:themeTint="80"/>
          <w:sz w:val="20"/>
          <w:szCs w:val="20"/>
          <w:lang w:val="es-MX"/>
        </w:rPr>
      </w:pPr>
    </w:p>
    <w:p w:rsidR="00D66EED" w:rsidRDefault="00D66EED" w:rsidP="00D66EED">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D66EED" w:rsidRDefault="00D66EED" w:rsidP="00D66EED">
      <w:pPr>
        <w:pStyle w:val="Textoindependiente"/>
        <w:ind w:firstLine="708"/>
        <w:rPr>
          <w:rFonts w:ascii="Calibri" w:hAnsi="Calibri" w:cs="Calibri"/>
          <w:color w:val="7F7F7F" w:themeColor="text1" w:themeTint="80"/>
          <w:sz w:val="26"/>
          <w:szCs w:val="26"/>
        </w:rPr>
      </w:pPr>
    </w:p>
    <w:p w:rsidR="00D66EED" w:rsidRDefault="00D66EED" w:rsidP="00D66EED">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p>
    <w:p w:rsidR="00D66EED" w:rsidRDefault="00D66EED" w:rsidP="00D66EED">
      <w:pPr>
        <w:pStyle w:val="Textoindependiente"/>
        <w:ind w:firstLine="708"/>
        <w:rPr>
          <w:rFonts w:ascii="Calibri" w:hAnsi="Calibri" w:cs="Calibri"/>
          <w:color w:val="7F7F7F" w:themeColor="text1" w:themeTint="80"/>
          <w:sz w:val="26"/>
          <w:szCs w:val="26"/>
        </w:rPr>
      </w:pPr>
    </w:p>
    <w:p w:rsidR="00D66EED" w:rsidRDefault="00D66EED" w:rsidP="00D66EED">
      <w:pPr>
        <w:pStyle w:val="Textoindependiente"/>
        <w:ind w:firstLine="708"/>
        <w:rPr>
          <w:rFonts w:ascii="Calibri" w:hAnsi="Calibri" w:cs="Calibri"/>
          <w:color w:val="7F7F7F" w:themeColor="text1" w:themeTint="80"/>
          <w:sz w:val="26"/>
          <w:szCs w:val="26"/>
        </w:rPr>
      </w:pPr>
    </w:p>
    <w:p w:rsidR="004F58FC" w:rsidRPr="00D66EED" w:rsidRDefault="00D66EED" w:rsidP="00D66EED">
      <w:pPr>
        <w:pStyle w:val="Textoindependiente"/>
        <w:ind w:firstLine="708"/>
      </w:pPr>
      <w:r>
        <w:rPr>
          <w:rFonts w:ascii="Calibri" w:hAnsi="Calibri" w:cs="Calibri"/>
          <w:b/>
          <w:color w:val="7F7F7F" w:themeColor="text1" w:themeTint="80"/>
        </w:rPr>
        <w:t xml:space="preserve">LA PRESENTE FOJA FORMA PARTE DE LA SENTENCIA DICTADA EL DÍA 29 VEINTINUEVE DE JUNIO DEL AÑO 2017 DOS MIL DIECISIETE, EN EL PROCESO ADMINISTRATIVO CON NÚMERO DE EXPEDIENTE 0290/2do.JAM/2017-JN. . . . . . . . . . . </w:t>
      </w:r>
      <w:bookmarkStart w:id="0" w:name="_GoBack"/>
      <w:bookmarkEnd w:id="0"/>
    </w:p>
    <w:sectPr w:rsidR="004F58FC" w:rsidRPr="00D66E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ED"/>
    <w:rsid w:val="004F58FC"/>
    <w:rsid w:val="00D66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A390B-F649-4FE3-926E-F96DDBF9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EE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66EE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6EE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66EED"/>
    <w:pPr>
      <w:jc w:val="both"/>
    </w:pPr>
    <w:rPr>
      <w:lang w:val="es-MX"/>
    </w:rPr>
  </w:style>
  <w:style w:type="character" w:customStyle="1" w:styleId="TextoindependienteCar">
    <w:name w:val="Texto independiente Car"/>
    <w:basedOn w:val="Fuentedeprrafopredeter"/>
    <w:link w:val="Textoindependiente"/>
    <w:rsid w:val="00D66EE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D66EE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66EE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3387</Words>
  <Characters>18629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2017-08-31T15:13:00Z</dcterms:created>
  <dcterms:modified xsi:type="dcterms:W3CDTF">2017-08-31T15:15:00Z</dcterms:modified>
</cp:coreProperties>
</file>